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042601" w:rsidRPr="00D51378" w:rsidP="00D51378">
      <w:pPr>
        <w:jc w:val="center"/>
        <w:rPr>
          <w:rFonts w:cs="Times New Roman"/>
          <w:b/>
        </w:rPr>
      </w:pPr>
      <w:bookmarkStart w:id="0" w:name="_GoBack"/>
      <w:bookmarkEnd w:id="0"/>
      <w:r w:rsidRPr="00D51378">
        <w:rPr>
          <w:rFonts w:cs="Times New Roman"/>
          <w:b/>
        </w:rPr>
        <w:t>VPC IMPACT ACQUISITION HOLDINGS</w:t>
      </w:r>
      <w:r w:rsidRPr="00D51378" w:rsidR="000700BF">
        <w:rPr>
          <w:rFonts w:cs="Times New Roman"/>
          <w:b/>
        </w:rPr>
        <w:t xml:space="preserve"> II</w:t>
      </w:r>
    </w:p>
    <w:p w:rsidR="00042601" w:rsidRPr="00D51378" w:rsidP="00D51378">
      <w:pPr>
        <w:jc w:val="center"/>
        <w:rPr>
          <w:rFonts w:cs="Times New Roman"/>
          <w:b/>
        </w:rPr>
      </w:pPr>
      <w:r w:rsidRPr="00D51378">
        <w:rPr>
          <w:rFonts w:cs="Times New Roman"/>
          <w:b/>
        </w:rPr>
        <w:t>COMPENSATION COMMITTEE CHARTER</w:t>
      </w:r>
    </w:p>
    <w:p w:rsidR="008264BC" w:rsidRPr="00D51378" w:rsidP="00D51378">
      <w:pPr>
        <w:jc w:val="center"/>
        <w:rPr>
          <w:rFonts w:cs="Times New Roman"/>
          <w:b/>
        </w:rPr>
      </w:pPr>
    </w:p>
    <w:p w:rsidR="008264BC" w:rsidRPr="00D51378" w:rsidP="00D51378">
      <w:pPr>
        <w:jc w:val="center"/>
        <w:rPr>
          <w:rFonts w:cs="Times New Roman"/>
          <w:b/>
        </w:rPr>
      </w:pPr>
      <w:r w:rsidRPr="00D51378">
        <w:rPr>
          <w:rFonts w:cs="Times New Roman"/>
          <w:b/>
        </w:rPr>
        <w:t>Effective</w:t>
      </w:r>
      <w:r w:rsidRPr="00D51378">
        <w:rPr>
          <w:rFonts w:cs="Times New Roman"/>
          <w:b/>
        </w:rPr>
        <w:t xml:space="preserve"> </w:t>
      </w:r>
      <w:r w:rsidR="00D51378">
        <w:rPr>
          <w:rFonts w:cs="Times New Roman"/>
          <w:b/>
        </w:rPr>
        <w:t>March 4</w:t>
      </w:r>
      <w:r w:rsidRPr="00D51378" w:rsidR="004B34BA">
        <w:rPr>
          <w:rFonts w:cs="Times New Roman"/>
          <w:b/>
        </w:rPr>
        <w:t>, 202</w:t>
      </w:r>
      <w:r w:rsidRPr="00D51378" w:rsidR="000700BF">
        <w:rPr>
          <w:rFonts w:cs="Times New Roman"/>
          <w:b/>
        </w:rPr>
        <w:t>1</w:t>
      </w:r>
    </w:p>
    <w:p w:rsidR="00042601" w:rsidRPr="00D51378" w:rsidP="00D51378">
      <w:pPr>
        <w:jc w:val="both"/>
        <w:rPr>
          <w:rFonts w:cs="Times New Roman"/>
        </w:rPr>
      </w:pPr>
    </w:p>
    <w:p w:rsidR="00042601" w:rsidRPr="00D51378" w:rsidP="00D51378">
      <w:pPr>
        <w:pStyle w:val="ListParagraph"/>
        <w:numPr>
          <w:ilvl w:val="0"/>
          <w:numId w:val="13"/>
        </w:numPr>
        <w:ind w:hanging="540"/>
        <w:jc w:val="both"/>
        <w:rPr>
          <w:rFonts w:cs="Times New Roman"/>
          <w:caps/>
        </w:rPr>
      </w:pPr>
      <w:r w:rsidRPr="00D51378">
        <w:rPr>
          <w:rFonts w:cs="Times New Roman"/>
          <w:b/>
          <w:caps/>
          <w:u w:val="single"/>
        </w:rPr>
        <w:t>Purposes</w:t>
      </w:r>
    </w:p>
    <w:p w:rsidR="0072256E" w:rsidRPr="00D51378" w:rsidP="00D51378">
      <w:pPr>
        <w:pStyle w:val="ListParagraph"/>
        <w:jc w:val="both"/>
        <w:rPr>
          <w:rFonts w:cs="Times New Roman"/>
        </w:rPr>
      </w:pPr>
    </w:p>
    <w:p w:rsidR="00042601" w:rsidRPr="00D51378" w:rsidP="00D51378">
      <w:pPr>
        <w:ind w:firstLine="720"/>
        <w:jc w:val="both"/>
        <w:rPr>
          <w:rFonts w:cs="Times New Roman"/>
        </w:rPr>
      </w:pPr>
      <w:r w:rsidRPr="00D51378">
        <w:rPr>
          <w:rFonts w:cs="Times New Roman"/>
        </w:rPr>
        <w:t>The Compensation Committee (the “</w:t>
      </w:r>
      <w:r w:rsidRPr="00D51378">
        <w:rPr>
          <w:rFonts w:cs="Times New Roman"/>
          <w:b/>
          <w:i/>
        </w:rPr>
        <w:t>Committee</w:t>
      </w:r>
      <w:r w:rsidRPr="00D51378">
        <w:rPr>
          <w:rFonts w:cs="Times New Roman"/>
        </w:rPr>
        <w:t>”) is appointed by the Board of Directors (the “</w:t>
      </w:r>
      <w:r w:rsidRPr="00D51378">
        <w:rPr>
          <w:rFonts w:cs="Times New Roman"/>
          <w:b/>
          <w:i/>
        </w:rPr>
        <w:t>Board</w:t>
      </w:r>
      <w:r w:rsidRPr="00D51378">
        <w:rPr>
          <w:rFonts w:cs="Times New Roman"/>
        </w:rPr>
        <w:t xml:space="preserve">”) of </w:t>
      </w:r>
      <w:r w:rsidRPr="00D51378" w:rsidR="007227C8">
        <w:rPr>
          <w:rFonts w:cs="Times New Roman"/>
        </w:rPr>
        <w:t>VPC Impact Acquisition Holdings</w:t>
      </w:r>
      <w:r w:rsidRPr="00D51378" w:rsidR="000700BF">
        <w:rPr>
          <w:rFonts w:cs="Times New Roman"/>
        </w:rPr>
        <w:t xml:space="preserve"> II</w:t>
      </w:r>
      <w:r w:rsidRPr="00D51378">
        <w:rPr>
          <w:rFonts w:cs="Times New Roman"/>
        </w:rPr>
        <w:t xml:space="preserve"> (the “</w:t>
      </w:r>
      <w:r w:rsidRPr="00D51378">
        <w:rPr>
          <w:rFonts w:cs="Times New Roman"/>
          <w:b/>
          <w:i/>
        </w:rPr>
        <w:t>Company</w:t>
      </w:r>
      <w:r w:rsidRPr="00D51378">
        <w:rPr>
          <w:rFonts w:cs="Times New Roman"/>
        </w:rPr>
        <w:t xml:space="preserve">”) to: (A) assist the Board in overseeing the Company’s employee compensation policies and practices, including (i) determining and approving the compensation of the Company’s </w:t>
      </w:r>
      <w:r w:rsidRPr="00D51378" w:rsidR="000700BF">
        <w:rPr>
          <w:rFonts w:cs="Times New Roman"/>
        </w:rPr>
        <w:t>Co-</w:t>
      </w:r>
      <w:r w:rsidRPr="00D51378">
        <w:rPr>
          <w:rFonts w:cs="Times New Roman"/>
        </w:rPr>
        <w:t>Chief Executive Officer</w:t>
      </w:r>
      <w:r w:rsidRPr="00D51378" w:rsidR="000700BF">
        <w:rPr>
          <w:rFonts w:cs="Times New Roman"/>
        </w:rPr>
        <w:t>s</w:t>
      </w:r>
      <w:r w:rsidRPr="00D51378">
        <w:rPr>
          <w:rFonts w:cs="Times New Roman"/>
        </w:rPr>
        <w:t xml:space="preserve"> (“</w:t>
      </w:r>
      <w:r w:rsidRPr="00D51378">
        <w:rPr>
          <w:rFonts w:cs="Times New Roman"/>
          <w:b/>
          <w:i/>
        </w:rPr>
        <w:t>CEO</w:t>
      </w:r>
      <w:r w:rsidRPr="00D51378" w:rsidR="000700BF">
        <w:rPr>
          <w:rFonts w:cs="Times New Roman"/>
          <w:b/>
          <w:i/>
        </w:rPr>
        <w:t>s</w:t>
      </w:r>
      <w:r w:rsidRPr="00D51378">
        <w:rPr>
          <w:rFonts w:cs="Times New Roman"/>
        </w:rPr>
        <w:t xml:space="preserve">”) and the Company’s other executive officers, and (ii) reviewing and approving incentive compensation and equity compensation policies and programs, and exercising discretion in the administration of such programs; and (B) produce the annual report of the Committee required by the rules of the </w:t>
      </w:r>
      <w:r w:rsidRPr="00D51378" w:rsidR="008264BC">
        <w:rPr>
          <w:rFonts w:cs="Times New Roman"/>
        </w:rPr>
        <w:t xml:space="preserve">U.S. </w:t>
      </w:r>
      <w:r w:rsidRPr="00D51378">
        <w:rPr>
          <w:rFonts w:cs="Times New Roman"/>
        </w:rPr>
        <w:t>Securities and Exchange Commission (“</w:t>
      </w:r>
      <w:r w:rsidRPr="00D51378">
        <w:rPr>
          <w:rFonts w:cs="Times New Roman"/>
          <w:b/>
          <w:i/>
        </w:rPr>
        <w:t>SEC</w:t>
      </w:r>
      <w:r w:rsidRPr="00D51378">
        <w:rPr>
          <w:rFonts w:cs="Times New Roman"/>
        </w:rPr>
        <w:t xml:space="preserve">”). </w:t>
      </w:r>
    </w:p>
    <w:p w:rsidR="00042601" w:rsidRPr="00D51378" w:rsidP="00D51378">
      <w:pPr>
        <w:jc w:val="both"/>
        <w:rPr>
          <w:rFonts w:cs="Times New Roman"/>
          <w:color w:val="auto"/>
        </w:rPr>
      </w:pPr>
    </w:p>
    <w:p w:rsidR="00042601" w:rsidRPr="00D51378" w:rsidP="00D51378">
      <w:pPr>
        <w:pStyle w:val="ListParagraph"/>
        <w:numPr>
          <w:ilvl w:val="0"/>
          <w:numId w:val="13"/>
        </w:numPr>
        <w:tabs>
          <w:tab w:val="left" w:pos="810"/>
        </w:tabs>
        <w:ind w:hanging="450"/>
        <w:jc w:val="both"/>
        <w:rPr>
          <w:rFonts w:cs="Times New Roman"/>
          <w:caps/>
          <w:color w:val="auto"/>
        </w:rPr>
      </w:pPr>
      <w:r w:rsidRPr="00D51378">
        <w:rPr>
          <w:rFonts w:cs="Times New Roman"/>
          <w:b/>
          <w:caps/>
          <w:color w:val="auto"/>
          <w:u w:val="single"/>
        </w:rPr>
        <w:t>Committee Membership</w:t>
      </w:r>
      <w:r w:rsidRPr="00D51378">
        <w:rPr>
          <w:rFonts w:cs="Times New Roman"/>
          <w:caps/>
          <w:color w:val="auto"/>
        </w:rPr>
        <w:t xml:space="preserve"> </w:t>
      </w:r>
    </w:p>
    <w:p w:rsidR="00042601" w:rsidRPr="00D51378" w:rsidP="00D51378">
      <w:pPr>
        <w:jc w:val="both"/>
        <w:rPr>
          <w:rFonts w:cs="Times New Roman"/>
          <w:b/>
          <w:color w:val="auto"/>
        </w:rPr>
      </w:pPr>
    </w:p>
    <w:p w:rsidR="00D55A92" w:rsidRPr="00D51378" w:rsidP="00D51378">
      <w:pPr>
        <w:pStyle w:val="ListParagraph"/>
        <w:numPr>
          <w:ilvl w:val="0"/>
          <w:numId w:val="15"/>
        </w:numPr>
        <w:jc w:val="both"/>
        <w:rPr>
          <w:rFonts w:cs="Times New Roman"/>
        </w:rPr>
      </w:pPr>
      <w:r w:rsidRPr="00D51378">
        <w:rPr>
          <w:rFonts w:cs="Times New Roman"/>
          <w:b/>
          <w:i/>
          <w:color w:val="auto"/>
        </w:rPr>
        <w:t>Composition</w:t>
      </w:r>
    </w:p>
    <w:p w:rsidR="00D55A92" w:rsidRPr="00D51378" w:rsidP="00D51378">
      <w:pPr>
        <w:jc w:val="both"/>
        <w:rPr>
          <w:rFonts w:cs="Times New Roman"/>
          <w:color w:val="auto"/>
        </w:rPr>
      </w:pPr>
    </w:p>
    <w:p w:rsidR="00042601" w:rsidRPr="00D51378" w:rsidP="00D51378">
      <w:pPr>
        <w:ind w:firstLine="720"/>
        <w:jc w:val="both"/>
        <w:rPr>
          <w:rFonts w:cs="Times New Roman"/>
        </w:rPr>
      </w:pPr>
      <w:r w:rsidRPr="00D51378">
        <w:rPr>
          <w:rFonts w:cs="Times New Roman"/>
          <w:color w:val="auto"/>
        </w:rPr>
        <w:t xml:space="preserve">The Committee shall consist of </w:t>
      </w:r>
      <w:r w:rsidRPr="00D51378" w:rsidR="00BD0707">
        <w:rPr>
          <w:rFonts w:cs="Times New Roman"/>
          <w:color w:val="auto"/>
        </w:rPr>
        <w:t>two</w:t>
      </w:r>
      <w:r w:rsidRPr="00D51378">
        <w:rPr>
          <w:rFonts w:cs="Times New Roman"/>
          <w:color w:val="auto"/>
        </w:rPr>
        <w:t xml:space="preserve"> or more members of the Board. Except as otherwise directed by the Board, a director selected as a Committee </w:t>
      </w:r>
      <w:r w:rsidRPr="00D51378">
        <w:rPr>
          <w:rFonts w:cs="Times New Roman"/>
        </w:rPr>
        <w:t xml:space="preserve">member shall continue to be a member for as long as he or she remains a director or until his or her earlier resignation or removal from the Committee. Any member may be removed from the Committee by the Board, with or without cause, at any time. Any vacancy on the Committee shall be filled by a majority vote of the Board. No member of the Committee shall be removed except by majority vote of the Board. </w:t>
      </w:r>
    </w:p>
    <w:p w:rsidR="00042601" w:rsidRPr="00D51378" w:rsidP="00D51378">
      <w:pPr>
        <w:jc w:val="both"/>
        <w:rPr>
          <w:rFonts w:cs="Times New Roman"/>
        </w:rPr>
      </w:pPr>
    </w:p>
    <w:p w:rsidR="00D55A92" w:rsidRPr="00D51378" w:rsidP="00D51378">
      <w:pPr>
        <w:pStyle w:val="ListParagraph"/>
        <w:numPr>
          <w:ilvl w:val="0"/>
          <w:numId w:val="15"/>
        </w:numPr>
        <w:jc w:val="both"/>
        <w:rPr>
          <w:rFonts w:cs="Times New Roman"/>
        </w:rPr>
      </w:pPr>
      <w:r w:rsidRPr="00D51378">
        <w:rPr>
          <w:rFonts w:cs="Times New Roman"/>
          <w:b/>
          <w:i/>
        </w:rPr>
        <w:t>Chair</w:t>
      </w:r>
    </w:p>
    <w:p w:rsidR="00D55A92"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provided that if the Board does not so designate a chairperson, the members of the Committee, by a majority vote, may designate a chairperson. In the absence of the Chair at a duly convened meeting, the Committee shall select a temporary substitute from among its members to serve as chair of the meeting. </w:t>
      </w:r>
    </w:p>
    <w:p w:rsidR="00042601" w:rsidRPr="00D51378" w:rsidP="00D51378">
      <w:pPr>
        <w:jc w:val="both"/>
        <w:rPr>
          <w:rFonts w:cs="Times New Roman"/>
        </w:rPr>
      </w:pPr>
    </w:p>
    <w:p w:rsidR="00D55A92" w:rsidRPr="00D51378" w:rsidP="00D51378">
      <w:pPr>
        <w:pStyle w:val="ListParagraph"/>
        <w:numPr>
          <w:ilvl w:val="0"/>
          <w:numId w:val="15"/>
        </w:numPr>
        <w:jc w:val="both"/>
        <w:rPr>
          <w:rFonts w:cs="Times New Roman"/>
        </w:rPr>
      </w:pPr>
      <w:r w:rsidRPr="00D51378">
        <w:rPr>
          <w:rFonts w:cs="Times New Roman"/>
          <w:b/>
          <w:i/>
        </w:rPr>
        <w:t>Independence</w:t>
      </w:r>
    </w:p>
    <w:p w:rsidR="00D55A92"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Each member of the Committee shall be an “independent” director in accordance with the applicable listing standards of </w:t>
      </w:r>
      <w:r w:rsidRPr="00D51378" w:rsidR="000D4BB9">
        <w:rPr>
          <w:rFonts w:cs="Times New Roman"/>
        </w:rPr>
        <w:t>The Nasdaq Capital Market</w:t>
      </w:r>
      <w:r w:rsidRPr="00D51378" w:rsidR="008264BC">
        <w:rPr>
          <w:rFonts w:cs="Times New Roman"/>
        </w:rPr>
        <w:t xml:space="preserve"> (“</w:t>
      </w:r>
      <w:r w:rsidRPr="00D51378" w:rsidR="000D4BB9">
        <w:rPr>
          <w:rFonts w:cs="Times New Roman"/>
          <w:b/>
          <w:i/>
        </w:rPr>
        <w:t>Nasdaq</w:t>
      </w:r>
      <w:r w:rsidRPr="00D51378" w:rsidR="008264BC">
        <w:rPr>
          <w:rFonts w:cs="Times New Roman"/>
        </w:rPr>
        <w:t>”)</w:t>
      </w:r>
      <w:r w:rsidRPr="00D51378">
        <w:rPr>
          <w:rFonts w:cs="Times New Roman"/>
        </w:rPr>
        <w:t>, including standards specifically applicable to compensation committee members</w:t>
      </w:r>
      <w:r w:rsidRPr="00D51378" w:rsidR="00FE3930">
        <w:rPr>
          <w:rFonts w:cs="Times New Roman"/>
        </w:rPr>
        <w:t xml:space="preserve">, subject to any exceptions or cure </w:t>
      </w:r>
      <w:r w:rsidRPr="00D51378" w:rsidR="000D4BB9">
        <w:rPr>
          <w:rFonts w:cs="Times New Roman"/>
        </w:rPr>
        <w:t xml:space="preserve">schedules </w:t>
      </w:r>
      <w:r w:rsidRPr="00D51378" w:rsidR="00FE3930">
        <w:rPr>
          <w:rFonts w:cs="Times New Roman"/>
        </w:rPr>
        <w:t xml:space="preserve">that are applicable pursuant to the foregoing requirements and the phase-in periods permitted under the rules of </w:t>
      </w:r>
      <w:r w:rsidRPr="00D51378" w:rsidR="000D4BB9">
        <w:rPr>
          <w:rFonts w:cs="Times New Roman"/>
        </w:rPr>
        <w:t>Nasdaq</w:t>
      </w:r>
      <w:r w:rsidRPr="00D51378" w:rsidR="008264BC">
        <w:rPr>
          <w:rFonts w:cs="Times New Roman"/>
        </w:rPr>
        <w:t xml:space="preserve"> </w:t>
      </w:r>
      <w:r w:rsidRPr="00D51378" w:rsidR="00FE3930">
        <w:rPr>
          <w:rFonts w:cs="Times New Roman"/>
        </w:rPr>
        <w:t xml:space="preserve">under which the Committee is required to have only one independent member at the time of listing, a majority of independent members within 90 days of </w:t>
      </w:r>
      <w:r w:rsidRPr="00D51378" w:rsidR="00FE3930">
        <w:rPr>
          <w:rFonts w:cs="Times New Roman"/>
        </w:rPr>
        <w:t>listing and all independent members within one year of listing.</w:t>
      </w:r>
      <w:r w:rsidRPr="00D51378">
        <w:rPr>
          <w:rFonts w:cs="Times New Roman"/>
        </w:rPr>
        <w:t xml:space="preserve"> Any action duly taken by the Committee shall be valid and effective, whether or not the members of the Committee at the time of such action are later determined not to have satisfied the requirements for membership provided herein. </w:t>
      </w:r>
    </w:p>
    <w:p w:rsidR="002265A2" w:rsidRPr="00D51378" w:rsidP="00D51378">
      <w:pPr>
        <w:jc w:val="both"/>
        <w:rPr>
          <w:rFonts w:cs="Times New Roman"/>
        </w:rPr>
      </w:pPr>
    </w:p>
    <w:p w:rsidR="00042601" w:rsidRPr="00D51378" w:rsidP="00D51378">
      <w:pPr>
        <w:pStyle w:val="ListParagraph"/>
        <w:numPr>
          <w:ilvl w:val="0"/>
          <w:numId w:val="13"/>
        </w:numPr>
        <w:jc w:val="both"/>
        <w:rPr>
          <w:rFonts w:cs="Times New Roman"/>
          <w:caps/>
        </w:rPr>
      </w:pPr>
      <w:r w:rsidRPr="00D51378">
        <w:rPr>
          <w:rFonts w:cs="Times New Roman"/>
          <w:b/>
          <w:caps/>
          <w:u w:val="single"/>
        </w:rPr>
        <w:t>Authority</w:t>
      </w:r>
      <w:r w:rsidRPr="00D51378">
        <w:rPr>
          <w:rFonts w:cs="Times New Roman"/>
          <w:caps/>
        </w:rPr>
        <w:t xml:space="preserve">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In discharging its role, the Committee is empowered to inquire into any matter that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necessary or appropriate to the accomplishment of its purposes.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The Committee shall have the sole discretion to retain or obtain advice from, oversee and terminate any compensation consultant, legal counsel or other adviser to the Committee and be directly responsible for the appointment, compensation and oversight of any work of such adviser retained by the Committee, and the Company will provide appropriate funding (as determined by the Committee) for the payment of reasonable compensation to any such adviser. </w:t>
      </w:r>
    </w:p>
    <w:p w:rsidR="00042601" w:rsidRPr="00D51378" w:rsidP="00D51378">
      <w:pPr>
        <w:jc w:val="both"/>
        <w:rPr>
          <w:rFonts w:cs="Times New Roman"/>
        </w:rPr>
      </w:pPr>
    </w:p>
    <w:p w:rsidR="00042601" w:rsidRPr="00D51378" w:rsidP="00D51378">
      <w:pPr>
        <w:pStyle w:val="ListParagraph"/>
        <w:numPr>
          <w:ilvl w:val="0"/>
          <w:numId w:val="13"/>
        </w:numPr>
        <w:jc w:val="both"/>
        <w:rPr>
          <w:rFonts w:cs="Times New Roman"/>
        </w:rPr>
      </w:pPr>
      <w:r w:rsidRPr="00D51378">
        <w:rPr>
          <w:rFonts w:cs="Times New Roman"/>
          <w:b/>
          <w:caps/>
          <w:u w:val="single"/>
        </w:rPr>
        <w:t>Committee Meetings</w:t>
      </w:r>
      <w:r w:rsidRPr="00D51378">
        <w:rPr>
          <w:rFonts w:cs="Times New Roman"/>
        </w:rPr>
        <w:t xml:space="preserve">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The Committee shall meet </w:t>
      </w:r>
      <w:r w:rsidRPr="00D51378" w:rsidR="00FE3930">
        <w:rPr>
          <w:rFonts w:cs="Times New Roman"/>
        </w:rPr>
        <w:t>as often as necessary to carry out its responsibilities</w:t>
      </w:r>
      <w:r w:rsidRPr="00D51378" w:rsidR="00FF78F1">
        <w:rPr>
          <w:rFonts w:cs="Times New Roman"/>
        </w:rPr>
        <w:t>, which, following the Company’s initial business combination, shall be at least quarterly</w:t>
      </w:r>
      <w:r w:rsidRPr="00D51378">
        <w:rPr>
          <w:rFonts w:cs="Times New Roman"/>
        </w:rPr>
        <w:t xml:space="preserve">.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The Committee shall establish its own schedule of meetings. The Committee may also act by unanimous written consent of its members.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 </w:t>
      </w:r>
    </w:p>
    <w:p w:rsidR="00042601" w:rsidRPr="00D51378" w:rsidP="00D51378">
      <w:pPr>
        <w:jc w:val="both"/>
        <w:rPr>
          <w:rFonts w:cs="Times New Roman"/>
        </w:rPr>
      </w:pPr>
    </w:p>
    <w:p w:rsidR="00042601" w:rsidRPr="00D51378" w:rsidP="00D51378">
      <w:pPr>
        <w:pStyle w:val="ListParagraph"/>
        <w:numPr>
          <w:ilvl w:val="0"/>
          <w:numId w:val="13"/>
        </w:numPr>
        <w:jc w:val="both"/>
        <w:rPr>
          <w:rFonts w:cs="Times New Roman"/>
        </w:rPr>
      </w:pPr>
      <w:r w:rsidRPr="00D51378">
        <w:rPr>
          <w:rFonts w:cs="Times New Roman"/>
          <w:b/>
          <w:caps/>
          <w:u w:val="single"/>
        </w:rPr>
        <w:t>Delegation</w:t>
      </w:r>
      <w:r w:rsidRPr="00D51378">
        <w:rPr>
          <w:rFonts w:cs="Times New Roman"/>
        </w:rPr>
        <w:t xml:space="preserve">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SEC and </w:t>
      </w:r>
      <w:r w:rsidRPr="00D51378" w:rsidR="000D4BB9">
        <w:rPr>
          <w:rFonts w:cs="Times New Roman"/>
        </w:rPr>
        <w:t>Nasdaq</w:t>
      </w:r>
      <w:r w:rsidRPr="00D51378">
        <w:rPr>
          <w:rFonts w:cs="Times New Roman"/>
        </w:rPr>
        <w:t xml:space="preserve">. </w:t>
      </w:r>
    </w:p>
    <w:p w:rsidR="00042601" w:rsidRPr="00D51378" w:rsidP="00D51378">
      <w:pPr>
        <w:jc w:val="both"/>
        <w:rPr>
          <w:rFonts w:cs="Times New Roman"/>
        </w:rPr>
      </w:pPr>
    </w:p>
    <w:p w:rsidR="00042601" w:rsidRPr="00D51378" w:rsidP="00D51378">
      <w:pPr>
        <w:ind w:firstLine="720"/>
        <w:jc w:val="both"/>
        <w:rPr>
          <w:rFonts w:cs="Times New Roman"/>
        </w:rPr>
      </w:pPr>
      <w:r w:rsidRPr="00D51378">
        <w:rPr>
          <w:rFonts w:cs="Times New Roman"/>
        </w:rPr>
        <w:t xml:space="preserve">In addition, the Committee may, by resolution approved by a majority of the Committee, delegate to management the administration of the Company’s incentive compensation and equity-based compensation plans, to the extent permitted by law and as may be permitted by such plans and subject to such rules, policies and guidelines (including limits on the aggregate awards that may be made pursuant to such delegation) as the Committee shall approve, provided that, consistent with Section VI below, the Committee shall determine and approve the awards made under such plan to any executive officer and any other member of senior management as the Committee shall designate and shall at least annually review the awards made to such other members of senior management as the Committee shall designate. </w:t>
      </w:r>
    </w:p>
    <w:p w:rsidR="00042601" w:rsidRPr="00D51378" w:rsidP="00D51378">
      <w:pPr>
        <w:jc w:val="both"/>
        <w:rPr>
          <w:rFonts w:cs="Times New Roman"/>
        </w:rPr>
      </w:pPr>
    </w:p>
    <w:p w:rsidR="00042601" w:rsidRPr="00D51378" w:rsidP="00D51378">
      <w:pPr>
        <w:pStyle w:val="ListParagraph"/>
        <w:numPr>
          <w:ilvl w:val="0"/>
          <w:numId w:val="13"/>
        </w:numPr>
        <w:jc w:val="both"/>
        <w:rPr>
          <w:rFonts w:cs="Times New Roman"/>
          <w:caps/>
        </w:rPr>
      </w:pPr>
      <w:r w:rsidRPr="00D51378">
        <w:rPr>
          <w:rFonts w:cs="Times New Roman"/>
          <w:b/>
          <w:caps/>
          <w:u w:val="single"/>
        </w:rPr>
        <w:t>Key Responsibilities</w:t>
      </w:r>
      <w:r w:rsidRPr="00D51378">
        <w:rPr>
          <w:rFonts w:cs="Times New Roman"/>
          <w:caps/>
        </w:rPr>
        <w:t xml:space="preserve"> </w:t>
      </w:r>
    </w:p>
    <w:p w:rsidR="00042601" w:rsidRPr="00D51378" w:rsidP="00D51378">
      <w:pPr>
        <w:jc w:val="both"/>
        <w:rPr>
          <w:rFonts w:cs="Times New Roman"/>
        </w:rPr>
      </w:pPr>
    </w:p>
    <w:p w:rsidR="002265A2" w:rsidRPr="00D51378" w:rsidP="00D51378">
      <w:pPr>
        <w:ind w:firstLine="720"/>
        <w:jc w:val="both"/>
        <w:rPr>
          <w:rFonts w:cs="Times New Roman"/>
        </w:rPr>
      </w:pPr>
      <w:r w:rsidRPr="00D51378">
        <w:rPr>
          <w:rFonts w:cs="Times New Roman"/>
        </w:rPr>
        <w:t xml:space="preserve">The following responsibilities are set forth as a guide for fulfilling the Committee’s purposes in such manner as the Committee determines is appropriate: </w:t>
      </w:r>
    </w:p>
    <w:p w:rsidR="002265A2" w:rsidRPr="00D51378" w:rsidP="00D51378">
      <w:pPr>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establish and review the objectives of the Company’s management compensation programs and its basic compensation policies; </w:t>
      </w:r>
    </w:p>
    <w:p w:rsidR="009E1604" w:rsidRPr="00D51378" w:rsidP="00D51378">
      <w:pPr>
        <w:pStyle w:val="ListParagraph"/>
        <w:ind w:left="1080"/>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review and approve corporate goals and objectives relevant to the compensation of the CEO</w:t>
      </w:r>
      <w:r w:rsidRPr="00D51378" w:rsidR="000700BF">
        <w:rPr>
          <w:rFonts w:cs="Times New Roman"/>
        </w:rPr>
        <w:t>s</w:t>
      </w:r>
      <w:r w:rsidRPr="00D51378">
        <w:rPr>
          <w:rFonts w:cs="Times New Roman"/>
        </w:rPr>
        <w:t xml:space="preserve"> and other executive officers, including annual and long-term performance goals and objectives;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and approve, subject to such further action of the Board as the Board shall determine, any employment, compensation, benefit or severance agreement with any executive officer;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evaluate at least annually the performance of the CEO</w:t>
      </w:r>
      <w:r w:rsidRPr="00D51378" w:rsidR="000700BF">
        <w:rPr>
          <w:rFonts w:cs="Times New Roman"/>
        </w:rPr>
        <w:t>s</w:t>
      </w:r>
      <w:r w:rsidRPr="00D51378">
        <w:rPr>
          <w:rFonts w:cs="Times New Roman"/>
        </w:rPr>
        <w:t xml:space="preserve"> and other executive officers against corporate goals and objectives including the annual performance objectives and, based on this evaluation, determine and approve, subject to such further action of the Board as the Board shall determine, the compensation (including any awards under any equity-based compensation or non-equity-based incentive compensation plan of the Company and any material perquisites) for the executive officers based on this evaluation;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determine and approve the compensation level (including any awards under any equity-based compensation or non-equity-based incentive compensation plan of the Company and any material perquisites) for other members of senior management of the Company as the Committee or the Board may from time to time determine to be appropriate;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at least annually the compensation of other employees as the Committee determines to be appropriate (including any awards under any equity-based compensation or non-equity-based incentive compensation plan of the Company and any material perquisites);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on a periodic basis the Company’s management compensation programs, including any management incentive compensation plans as well as plans and policies pertaining to perquisites, to determine whether they are appropriate, properly coordinated and achieve their intended purpose(s), and recommend to the Board any appropriate modifications or new plans, programs or policies;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approve and recommend to the Board the adoption of any equity-based compensation plan for employees of or consultants to the Company and any modification of any such plan;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administer the Company’s equity-based compensation plans for employees of and consultants to the Company as provided by the terms of such plans, including authorizing all awards made pursuant to such plans;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approve and recommend to the Board the adoption of any non-equity-based incentive compensation plan for employees of or consultants to the Company and any material modification of any such plan and review at least annually the awards made pursuant to such plans;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approve and recommend to the Board the adoption of any employee retirement plan, and other material employee benefit plan, and any material modification of any such plan;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review at least annually (</w:t>
      </w:r>
      <w:r w:rsidR="00D51378">
        <w:rPr>
          <w:rFonts w:cs="Times New Roman"/>
        </w:rPr>
        <w:t>i</w:t>
      </w:r>
      <w:r w:rsidRPr="00D51378">
        <w:rPr>
          <w:rFonts w:cs="Times New Roman"/>
        </w:rPr>
        <w:t>) the Company’s compensation policies and practices for executives, management employees and employees generally to assess whether such policies and practices could lead to excessive risk taking behavior and (</w:t>
      </w:r>
      <w:r w:rsidR="00D51378">
        <w:rPr>
          <w:rFonts w:cs="Times New Roman"/>
        </w:rPr>
        <w:t>ii</w:t>
      </w:r>
      <w:r w:rsidRPr="00D51378">
        <w:rPr>
          <w:rFonts w:cs="Times New Roman"/>
        </w:rPr>
        <w:t xml:space="preserve">) the manner in which any risks arising out of the Company’s compensation policies and practices are monitored and mitigated and adjustments necessary to address changes in the Company’s risk profile;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with respect to any compensation consultant who has been engaged to make determinations or recommendations on the amount or form of executive or director compensation: (</w:t>
      </w:r>
      <w:r w:rsidR="00D51378">
        <w:rPr>
          <w:rFonts w:cs="Times New Roman"/>
        </w:rPr>
        <w:t>i</w:t>
      </w:r>
      <w:r w:rsidRPr="00D51378">
        <w:rPr>
          <w:rFonts w:cs="Times New Roman"/>
        </w:rPr>
        <w:t>) annually, or from time to time as the Committee deems appropriate, assess whether the work of any such compensation consultant (whether retained by the compensation committee or management) has raised any conflicts of interest; and (</w:t>
      </w:r>
      <w:r w:rsidR="00D51378">
        <w:rPr>
          <w:rFonts w:cs="Times New Roman"/>
        </w:rPr>
        <w:t>ii</w:t>
      </w:r>
      <w:r w:rsidRPr="00D51378">
        <w:rPr>
          <w:rFonts w:cs="Times New Roman"/>
        </w:rPr>
        <w:t xml:space="preserve">) review the engagement and the nature of any additional services provided by such compensation consultant to the Committee or to management, as well as all remuneration provided to such consultant;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annually, or from time to time as the Committee deems appropriate and prior to retention of any advisers to the Committee, assess the independence of compensation consultants, legal and other advisers to the Committee, taking into consideration all relevant factors the Committee deems appropriate to such adviser’s independence, including factors specified in the listing standards of </w:t>
      </w:r>
      <w:r w:rsidRPr="00D51378" w:rsidR="000D4BB9">
        <w:rPr>
          <w:rFonts w:cs="Times New Roman"/>
        </w:rPr>
        <w:t>Nasdaq</w:t>
      </w:r>
      <w:r w:rsidRPr="00D51378">
        <w:rPr>
          <w:rFonts w:cs="Times New Roman"/>
        </w:rPr>
        <w:t xml:space="preserve">;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and discuss with management the Compensation Discussion and Analysis disclosure required by SEC regulations and determine whether to recommend to the Board, as part of a report of the Committee to the Board, that such disclosure be included in the Company’s Annual Report on Form 10-K and any proxy statement for the election of directors; as part of this review, the Committee shall consider the results of the most recent </w:t>
      </w:r>
      <w:r w:rsidRPr="00D51378" w:rsidR="00735CFF">
        <w:rPr>
          <w:rFonts w:cs="Times New Roman"/>
        </w:rPr>
        <w:t>stockholder</w:t>
      </w:r>
      <w:r w:rsidRPr="00D51378">
        <w:rPr>
          <w:rFonts w:cs="Times New Roman"/>
        </w:rPr>
        <w:t xml:space="preserve"> advisory vote on executive compensation (“say-on-pay” vote) required by Section 14A of the Exchange Act;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at least every six years or more frequently as appropriate, make a recommendation to the Board regarding the frequency with which the Company will conduct a say-on-pay vote;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review the form and amount of director compensation at least annually, and make recommendations thereon to the Board;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oversee and monitor other compensation related policies and practices of the Company, including: (</w:t>
      </w:r>
      <w:r w:rsidRPr="00D51378">
        <w:rPr>
          <w:rFonts w:cs="Times New Roman"/>
        </w:rPr>
        <w:t>i</w:t>
      </w:r>
      <w:r w:rsidRPr="00D51378">
        <w:rPr>
          <w:rFonts w:cs="Times New Roman"/>
        </w:rPr>
        <w:t xml:space="preserve">) the Company’s </w:t>
      </w:r>
      <w:r w:rsidRPr="00D51378" w:rsidR="00925E2C">
        <w:rPr>
          <w:rFonts w:cs="Times New Roman"/>
        </w:rPr>
        <w:t>stock</w:t>
      </w:r>
      <w:r w:rsidRPr="00D51378">
        <w:rPr>
          <w:rFonts w:cs="Times New Roman"/>
        </w:rPr>
        <w:t xml:space="preserve"> ownership guidelines for directors and executive officers; (</w:t>
      </w:r>
      <w:r w:rsidRPr="00D51378">
        <w:rPr>
          <w:rFonts w:cs="Times New Roman"/>
        </w:rPr>
        <w:t>ii</w:t>
      </w:r>
      <w:r w:rsidRPr="00D51378">
        <w:rPr>
          <w:rFonts w:cs="Times New Roman"/>
        </w:rPr>
        <w:t>) compliance by management with rules regarding equity-based compensation plans for employees and consultants pursuant to the terms of such plans, and the guidelines for issuance of awards as the Board or Committee may establish; and (</w:t>
      </w:r>
      <w:r w:rsidRPr="00D51378">
        <w:rPr>
          <w:rFonts w:cs="Times New Roman"/>
        </w:rPr>
        <w:t>iii</w:t>
      </w:r>
      <w:r w:rsidRPr="00D51378">
        <w:rPr>
          <w:rFonts w:cs="Times New Roman"/>
        </w:rPr>
        <w:t xml:space="preserve">) the Company’s recoupment policy and procedures;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oversee </w:t>
      </w:r>
      <w:r w:rsidRPr="00D51378" w:rsidR="00925E2C">
        <w:rPr>
          <w:rFonts w:cs="Times New Roman"/>
        </w:rPr>
        <w:t>stockholder</w:t>
      </w:r>
      <w:r w:rsidRPr="00D51378">
        <w:rPr>
          <w:rFonts w:cs="Times New Roman"/>
        </w:rPr>
        <w:t xml:space="preserve"> communications relating to executive compensation and review and make recommendations with respect to </w:t>
      </w:r>
      <w:r w:rsidRPr="00D51378" w:rsidR="00925E2C">
        <w:rPr>
          <w:rFonts w:cs="Times New Roman"/>
        </w:rPr>
        <w:t>stockholder</w:t>
      </w:r>
      <w:r w:rsidRPr="00D51378">
        <w:rPr>
          <w:rFonts w:cs="Times New Roman"/>
        </w:rPr>
        <w:t xml:space="preserve"> proposals related to compensation matters; </w:t>
      </w:r>
    </w:p>
    <w:p w:rsidR="009E1604"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 xml:space="preserve">conduct an annual self-evaluation of the performance of the Committee, including its effectiveness and compliance with this charter, and recommend to the Board such amendments of this charter as the Committee deems appropriate; </w:t>
      </w:r>
    </w:p>
    <w:p w:rsidR="009E1604" w:rsidRPr="00D51378" w:rsidP="00D51378">
      <w:pPr>
        <w:pStyle w:val="ListParagraph"/>
        <w:jc w:val="both"/>
        <w:rPr>
          <w:rFonts w:cs="Times New Roman"/>
        </w:rPr>
      </w:pPr>
    </w:p>
    <w:p w:rsidR="00654613" w:rsidRPr="00D51378" w:rsidP="00D51378">
      <w:pPr>
        <w:pStyle w:val="ListParagraph"/>
        <w:numPr>
          <w:ilvl w:val="0"/>
          <w:numId w:val="14"/>
        </w:numPr>
        <w:jc w:val="both"/>
        <w:rPr>
          <w:rFonts w:cs="Times New Roman"/>
        </w:rPr>
      </w:pPr>
      <w:r w:rsidRPr="00D51378">
        <w:rPr>
          <w:rFonts w:cs="Times New Roman"/>
        </w:rPr>
        <w:t>report regularly to the Board on Committee findings and recommendations and any other matters the Committee deems appropriate or the Board requests, and maintain minutes or other records of Committee meetings and activities;</w:t>
      </w:r>
    </w:p>
    <w:p w:rsidR="00654613" w:rsidRPr="00D51378" w:rsidP="00D51378">
      <w:pPr>
        <w:pStyle w:val="ListParagraph"/>
        <w:jc w:val="both"/>
        <w:rPr>
          <w:rFonts w:cs="Times New Roman"/>
        </w:rPr>
      </w:pPr>
    </w:p>
    <w:p w:rsidR="009E1604" w:rsidRPr="00D51378" w:rsidP="00D51378">
      <w:pPr>
        <w:pStyle w:val="ListParagraph"/>
        <w:numPr>
          <w:ilvl w:val="0"/>
          <w:numId w:val="14"/>
        </w:numPr>
        <w:jc w:val="both"/>
        <w:rPr>
          <w:rFonts w:cs="Times New Roman"/>
        </w:rPr>
      </w:pPr>
      <w:r w:rsidRPr="00D51378">
        <w:rPr>
          <w:rFonts w:cs="Times New Roman"/>
        </w:rPr>
        <w:t>from and after the completion of the Company’s initial business combination, in consultation with the CEO</w:t>
      </w:r>
      <w:r w:rsidRPr="00D51378" w:rsidR="000700BF">
        <w:rPr>
          <w:rFonts w:cs="Times New Roman"/>
        </w:rPr>
        <w:t>s</w:t>
      </w:r>
      <w:r w:rsidRPr="00D51378">
        <w:rPr>
          <w:rFonts w:cs="Times New Roman"/>
        </w:rPr>
        <w:t>, annually report to the Board on succession planning, which shall include emergency CEO</w:t>
      </w:r>
      <w:r w:rsidRPr="00D51378" w:rsidR="000700BF">
        <w:rPr>
          <w:rFonts w:cs="Times New Roman"/>
        </w:rPr>
        <w:t>s</w:t>
      </w:r>
      <w:r w:rsidRPr="00D51378">
        <w:rPr>
          <w:rFonts w:cs="Times New Roman"/>
        </w:rPr>
        <w:t xml:space="preserve"> succession, CEO</w:t>
      </w:r>
      <w:r w:rsidRPr="00D51378" w:rsidR="000700BF">
        <w:rPr>
          <w:rFonts w:cs="Times New Roman"/>
        </w:rPr>
        <w:t>s</w:t>
      </w:r>
      <w:r w:rsidRPr="00D51378">
        <w:rPr>
          <w:rFonts w:cs="Times New Roman"/>
        </w:rPr>
        <w:t xml:space="preserve"> succession in the ordinary course and succession for other members of senior management, working with the entire Board to evaluate potential successors to the CEO</w:t>
      </w:r>
      <w:r w:rsidRPr="00D51378" w:rsidR="000700BF">
        <w:rPr>
          <w:rFonts w:cs="Times New Roman"/>
        </w:rPr>
        <w:t>s</w:t>
      </w:r>
      <w:r w:rsidRPr="00D51378">
        <w:rPr>
          <w:rFonts w:cs="Times New Roman"/>
        </w:rPr>
        <w:t>; and</w:t>
      </w:r>
    </w:p>
    <w:p w:rsidR="009E1604" w:rsidRPr="00D51378" w:rsidP="00D51378">
      <w:pPr>
        <w:pStyle w:val="ListParagraph"/>
        <w:jc w:val="both"/>
        <w:rPr>
          <w:rFonts w:cs="Times New Roman"/>
        </w:rPr>
      </w:pPr>
    </w:p>
    <w:p w:rsidR="00042601" w:rsidRPr="00D51378" w:rsidP="00D51378">
      <w:pPr>
        <w:pStyle w:val="ListParagraph"/>
        <w:numPr>
          <w:ilvl w:val="0"/>
          <w:numId w:val="14"/>
        </w:numPr>
        <w:jc w:val="both"/>
        <w:rPr>
          <w:rFonts w:cs="Times New Roman"/>
        </w:rPr>
      </w:pPr>
      <w:r w:rsidRPr="00D51378">
        <w:rPr>
          <w:rFonts w:cs="Times New Roman"/>
        </w:rPr>
        <w:t xml:space="preserve">undertake such other responsibilities or tasks as the Board may delegate or assign to the Committee from time to time. </w:t>
      </w:r>
    </w:p>
    <w:p w:rsidR="00042601" w:rsidRPr="00D51378" w:rsidP="00D51378">
      <w:pPr>
        <w:pStyle w:val="ListParagraph"/>
        <w:jc w:val="both"/>
        <w:rPr>
          <w:rFonts w:cs="Times New Roman"/>
        </w:rPr>
      </w:pPr>
    </w:p>
    <w:sectPr w:rsidSect="00323B77">
      <w:headerReference w:type="default" r:id="rId5"/>
      <w:footerReference w:type="default" r:id="rId6"/>
      <w:headerReference w:type="first" r:id="rId7"/>
      <w:footerReference w:type="first" r:id="rId8"/>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10;"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5515242"/>
      <w:docPartObj>
        <w:docPartGallery w:val="Page Numbers (Bottom of Page)"/>
        <w:docPartUnique/>
      </w:docPartObj>
    </w:sdtPr>
    <w:sdtEndPr>
      <w:rPr>
        <w:noProof/>
      </w:rPr>
    </w:sdtEndPr>
    <w:sdtContent>
      <w:p w:rsidR="00BE6CEE">
        <w:pPr>
          <w:pStyle w:val="Footer"/>
          <w:jc w:val="center"/>
        </w:pPr>
        <w:r>
          <w:fldChar w:fldCharType="begin"/>
        </w:r>
        <w:r>
          <w:instrText xml:space="preserve"> PAGE   \* MERGEFORMAT </w:instrText>
        </w:r>
        <w:r>
          <w:fldChar w:fldCharType="separate"/>
        </w:r>
        <w:r w:rsidR="00D5137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7522848"/>
      <w:docPartObj>
        <w:docPartGallery w:val="Page Numbers (Bottom of Page)"/>
        <w:docPartUnique/>
      </w:docPartObj>
    </w:sdtPr>
    <w:sdtEndPr>
      <w:rPr>
        <w:noProof/>
      </w:rPr>
    </w:sdtEndPr>
    <w:sdtContent>
      <w:p w:rsidR="001B7EF9">
        <w:pPr>
          <w:pStyle w:val="Footer"/>
          <w:jc w:val="center"/>
        </w:pPr>
        <w:r>
          <w:fldChar w:fldCharType="begin"/>
        </w:r>
        <w:r>
          <w:instrText xml:space="preserve"> PAGE   \* MERGEFORMAT </w:instrText>
        </w:r>
        <w:r>
          <w:fldChar w:fldCharType="separate"/>
        </w:r>
        <w:r w:rsidR="008A7BE5">
          <w:rPr>
            <w:noProof/>
          </w:rPr>
          <w:t>1</w:t>
        </w:r>
        <w:r>
          <w:rPr>
            <w:noProof/>
          </w:rPr>
          <w:fldChar w:fldCharType="end"/>
        </w:r>
      </w:p>
    </w:sdtContent>
  </w:sdt>
  <w:p w:rsidR="001B7EF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0E7" w:rsidRPr="0072256E" w:rsidP="0072256E">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4BA" w:rsidRPr="00294FC6" w:rsidP="00294FC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61E"/>
    <w:multiLevelType w:val="hybridMultilevel"/>
    <w:tmpl w:val="6BBCA80E"/>
    <w:lvl w:ilvl="0">
      <w:start w:val="1"/>
      <w:numFmt w:val="upperLetter"/>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AF4889"/>
    <w:multiLevelType w:val="hybridMultilevel"/>
    <w:tmpl w:val="918AC70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437B58"/>
    <w:multiLevelType w:val="hybridMultilevel"/>
    <w:tmpl w:val="84702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1720B4"/>
    <w:multiLevelType w:val="hybridMultilevel"/>
    <w:tmpl w:val="51824862"/>
    <w:lvl w:ilvl="0">
      <w:start w:val="1"/>
      <w:numFmt w:val="upperRoman"/>
      <w:lvlText w:val="%1."/>
      <w:lvlJc w:val="righ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40965"/>
    <w:multiLevelType w:val="hybridMultilevel"/>
    <w:tmpl w:val="F8DCB6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3"/>
  </w:num>
  <w:num w:numId="13">
    <w:abstractNumId w:val="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01"/>
    <w:rsid w:val="0000390D"/>
    <w:rsid w:val="00003F70"/>
    <w:rsid w:val="00006041"/>
    <w:rsid w:val="00006799"/>
    <w:rsid w:val="00006CB9"/>
    <w:rsid w:val="00021FCE"/>
    <w:rsid w:val="00026CE5"/>
    <w:rsid w:val="000274FE"/>
    <w:rsid w:val="00041905"/>
    <w:rsid w:val="00042601"/>
    <w:rsid w:val="00053F6C"/>
    <w:rsid w:val="00054835"/>
    <w:rsid w:val="00056CC3"/>
    <w:rsid w:val="00064B93"/>
    <w:rsid w:val="000658EF"/>
    <w:rsid w:val="00066882"/>
    <w:rsid w:val="000700BF"/>
    <w:rsid w:val="00072342"/>
    <w:rsid w:val="00074D05"/>
    <w:rsid w:val="00092A1B"/>
    <w:rsid w:val="00095749"/>
    <w:rsid w:val="000A74EB"/>
    <w:rsid w:val="000C2C44"/>
    <w:rsid w:val="000C5076"/>
    <w:rsid w:val="000C5EE7"/>
    <w:rsid w:val="000D15F3"/>
    <w:rsid w:val="000D1E99"/>
    <w:rsid w:val="000D4BB9"/>
    <w:rsid w:val="000D66EA"/>
    <w:rsid w:val="000E0172"/>
    <w:rsid w:val="0010004F"/>
    <w:rsid w:val="00105370"/>
    <w:rsid w:val="00106EAF"/>
    <w:rsid w:val="00107299"/>
    <w:rsid w:val="001073A3"/>
    <w:rsid w:val="001103CC"/>
    <w:rsid w:val="00112A36"/>
    <w:rsid w:val="00117438"/>
    <w:rsid w:val="0013420B"/>
    <w:rsid w:val="001618A5"/>
    <w:rsid w:val="00162CF2"/>
    <w:rsid w:val="00167BD9"/>
    <w:rsid w:val="001725A0"/>
    <w:rsid w:val="00187BB1"/>
    <w:rsid w:val="001952EC"/>
    <w:rsid w:val="00195BBB"/>
    <w:rsid w:val="001A5AE1"/>
    <w:rsid w:val="001B50DA"/>
    <w:rsid w:val="001B7EF9"/>
    <w:rsid w:val="001C2160"/>
    <w:rsid w:val="001D6296"/>
    <w:rsid w:val="001E1DD9"/>
    <w:rsid w:val="001F2D17"/>
    <w:rsid w:val="001F7826"/>
    <w:rsid w:val="00210365"/>
    <w:rsid w:val="00211EF1"/>
    <w:rsid w:val="00222225"/>
    <w:rsid w:val="00223A32"/>
    <w:rsid w:val="002265A2"/>
    <w:rsid w:val="002325A0"/>
    <w:rsid w:val="00242F4B"/>
    <w:rsid w:val="00243F5E"/>
    <w:rsid w:val="00255D45"/>
    <w:rsid w:val="002641F0"/>
    <w:rsid w:val="0026719B"/>
    <w:rsid w:val="00282973"/>
    <w:rsid w:val="00294FC6"/>
    <w:rsid w:val="002A2C53"/>
    <w:rsid w:val="002B4E80"/>
    <w:rsid w:val="002B58C1"/>
    <w:rsid w:val="002C6C88"/>
    <w:rsid w:val="002C7C48"/>
    <w:rsid w:val="002F433D"/>
    <w:rsid w:val="002F5F68"/>
    <w:rsid w:val="002F687D"/>
    <w:rsid w:val="003021A9"/>
    <w:rsid w:val="00304D37"/>
    <w:rsid w:val="00312554"/>
    <w:rsid w:val="00313A27"/>
    <w:rsid w:val="00323B77"/>
    <w:rsid w:val="00331888"/>
    <w:rsid w:val="0033614B"/>
    <w:rsid w:val="00336E3D"/>
    <w:rsid w:val="00353117"/>
    <w:rsid w:val="0036195E"/>
    <w:rsid w:val="00373857"/>
    <w:rsid w:val="00381D35"/>
    <w:rsid w:val="003872D3"/>
    <w:rsid w:val="0039224E"/>
    <w:rsid w:val="003A0091"/>
    <w:rsid w:val="003A29D3"/>
    <w:rsid w:val="003A6AC6"/>
    <w:rsid w:val="003B0680"/>
    <w:rsid w:val="003D1763"/>
    <w:rsid w:val="003E5B6C"/>
    <w:rsid w:val="004126DC"/>
    <w:rsid w:val="00416374"/>
    <w:rsid w:val="0042003C"/>
    <w:rsid w:val="00422F14"/>
    <w:rsid w:val="00423BD2"/>
    <w:rsid w:val="0043760F"/>
    <w:rsid w:val="00440267"/>
    <w:rsid w:val="0046040A"/>
    <w:rsid w:val="00462E0B"/>
    <w:rsid w:val="00463E93"/>
    <w:rsid w:val="004673E6"/>
    <w:rsid w:val="00467745"/>
    <w:rsid w:val="00490E11"/>
    <w:rsid w:val="004979A5"/>
    <w:rsid w:val="004A1833"/>
    <w:rsid w:val="004A56AA"/>
    <w:rsid w:val="004B34BA"/>
    <w:rsid w:val="004B4E41"/>
    <w:rsid w:val="004B5338"/>
    <w:rsid w:val="004C1D7D"/>
    <w:rsid w:val="004D0735"/>
    <w:rsid w:val="004D58AE"/>
    <w:rsid w:val="004F1D02"/>
    <w:rsid w:val="004F360C"/>
    <w:rsid w:val="005010A9"/>
    <w:rsid w:val="0050648F"/>
    <w:rsid w:val="00512DE9"/>
    <w:rsid w:val="005167E6"/>
    <w:rsid w:val="0053102D"/>
    <w:rsid w:val="00532003"/>
    <w:rsid w:val="00532E36"/>
    <w:rsid w:val="00543C39"/>
    <w:rsid w:val="0055062C"/>
    <w:rsid w:val="0056169E"/>
    <w:rsid w:val="00570F11"/>
    <w:rsid w:val="0057115E"/>
    <w:rsid w:val="0057427A"/>
    <w:rsid w:val="0057686C"/>
    <w:rsid w:val="00595BB3"/>
    <w:rsid w:val="0059615D"/>
    <w:rsid w:val="005A1A6C"/>
    <w:rsid w:val="005A3F22"/>
    <w:rsid w:val="005A6B06"/>
    <w:rsid w:val="005C20ED"/>
    <w:rsid w:val="005C6038"/>
    <w:rsid w:val="005E3E04"/>
    <w:rsid w:val="005E7718"/>
    <w:rsid w:val="005F434B"/>
    <w:rsid w:val="005F500B"/>
    <w:rsid w:val="0060029C"/>
    <w:rsid w:val="006051DC"/>
    <w:rsid w:val="006176F4"/>
    <w:rsid w:val="00622340"/>
    <w:rsid w:val="00630F1B"/>
    <w:rsid w:val="00640ED5"/>
    <w:rsid w:val="00651019"/>
    <w:rsid w:val="00651415"/>
    <w:rsid w:val="00654613"/>
    <w:rsid w:val="00674E8C"/>
    <w:rsid w:val="00676EC4"/>
    <w:rsid w:val="00683778"/>
    <w:rsid w:val="00685C6D"/>
    <w:rsid w:val="00692BC0"/>
    <w:rsid w:val="00695093"/>
    <w:rsid w:val="006A7B99"/>
    <w:rsid w:val="006B4042"/>
    <w:rsid w:val="006D0AF6"/>
    <w:rsid w:val="006D26FA"/>
    <w:rsid w:val="006D348A"/>
    <w:rsid w:val="006D70BA"/>
    <w:rsid w:val="006E076A"/>
    <w:rsid w:val="006E0A95"/>
    <w:rsid w:val="006F324A"/>
    <w:rsid w:val="006F3756"/>
    <w:rsid w:val="006F4955"/>
    <w:rsid w:val="006F5724"/>
    <w:rsid w:val="006F60A2"/>
    <w:rsid w:val="00707691"/>
    <w:rsid w:val="00712525"/>
    <w:rsid w:val="00712E84"/>
    <w:rsid w:val="0072256E"/>
    <w:rsid w:val="007227C8"/>
    <w:rsid w:val="007262D2"/>
    <w:rsid w:val="00735CFF"/>
    <w:rsid w:val="00747BAB"/>
    <w:rsid w:val="00751288"/>
    <w:rsid w:val="007534F9"/>
    <w:rsid w:val="00770456"/>
    <w:rsid w:val="007860E0"/>
    <w:rsid w:val="0079704E"/>
    <w:rsid w:val="00797ECA"/>
    <w:rsid w:val="007A20D6"/>
    <w:rsid w:val="007A350F"/>
    <w:rsid w:val="007C5B05"/>
    <w:rsid w:val="007C60A6"/>
    <w:rsid w:val="007D02D5"/>
    <w:rsid w:val="007D46A1"/>
    <w:rsid w:val="007D507F"/>
    <w:rsid w:val="007D74ED"/>
    <w:rsid w:val="007E42D5"/>
    <w:rsid w:val="007E6134"/>
    <w:rsid w:val="007F3B8D"/>
    <w:rsid w:val="0080501A"/>
    <w:rsid w:val="0080695F"/>
    <w:rsid w:val="00812BC5"/>
    <w:rsid w:val="008264BC"/>
    <w:rsid w:val="00833815"/>
    <w:rsid w:val="00841DCC"/>
    <w:rsid w:val="00856D94"/>
    <w:rsid w:val="00857843"/>
    <w:rsid w:val="00862D08"/>
    <w:rsid w:val="00875A2C"/>
    <w:rsid w:val="00886ECA"/>
    <w:rsid w:val="008931E0"/>
    <w:rsid w:val="00894DC8"/>
    <w:rsid w:val="00895C86"/>
    <w:rsid w:val="008A215D"/>
    <w:rsid w:val="008A3C24"/>
    <w:rsid w:val="008A43FE"/>
    <w:rsid w:val="008A5487"/>
    <w:rsid w:val="008A7834"/>
    <w:rsid w:val="008A7BE5"/>
    <w:rsid w:val="008A7EF9"/>
    <w:rsid w:val="008B5167"/>
    <w:rsid w:val="008C2C5F"/>
    <w:rsid w:val="008C3048"/>
    <w:rsid w:val="008D0B3F"/>
    <w:rsid w:val="008D2E93"/>
    <w:rsid w:val="008D318A"/>
    <w:rsid w:val="008E11CD"/>
    <w:rsid w:val="00901D01"/>
    <w:rsid w:val="00913419"/>
    <w:rsid w:val="00925E2C"/>
    <w:rsid w:val="0093272F"/>
    <w:rsid w:val="00942ECA"/>
    <w:rsid w:val="0094612C"/>
    <w:rsid w:val="00956995"/>
    <w:rsid w:val="009578B2"/>
    <w:rsid w:val="00984741"/>
    <w:rsid w:val="009A545A"/>
    <w:rsid w:val="009B2C86"/>
    <w:rsid w:val="009C0244"/>
    <w:rsid w:val="009C0490"/>
    <w:rsid w:val="009D0E73"/>
    <w:rsid w:val="009D4205"/>
    <w:rsid w:val="009E1604"/>
    <w:rsid w:val="009E6462"/>
    <w:rsid w:val="00A0149D"/>
    <w:rsid w:val="00A119B9"/>
    <w:rsid w:val="00A13AF3"/>
    <w:rsid w:val="00A1410B"/>
    <w:rsid w:val="00A214E9"/>
    <w:rsid w:val="00A35EDC"/>
    <w:rsid w:val="00A35F3A"/>
    <w:rsid w:val="00A37B6D"/>
    <w:rsid w:val="00A41DB1"/>
    <w:rsid w:val="00A478F2"/>
    <w:rsid w:val="00A51A5D"/>
    <w:rsid w:val="00A64D99"/>
    <w:rsid w:val="00A6663D"/>
    <w:rsid w:val="00A827F9"/>
    <w:rsid w:val="00A82853"/>
    <w:rsid w:val="00A87F11"/>
    <w:rsid w:val="00A906C5"/>
    <w:rsid w:val="00A9462C"/>
    <w:rsid w:val="00A9559B"/>
    <w:rsid w:val="00AA112A"/>
    <w:rsid w:val="00AA395D"/>
    <w:rsid w:val="00AB158D"/>
    <w:rsid w:val="00AB3798"/>
    <w:rsid w:val="00AC4B6D"/>
    <w:rsid w:val="00AD574B"/>
    <w:rsid w:val="00AE622E"/>
    <w:rsid w:val="00AE75BE"/>
    <w:rsid w:val="00AF110A"/>
    <w:rsid w:val="00AF5C43"/>
    <w:rsid w:val="00B0125B"/>
    <w:rsid w:val="00B0128E"/>
    <w:rsid w:val="00B05095"/>
    <w:rsid w:val="00B14EAA"/>
    <w:rsid w:val="00B20E54"/>
    <w:rsid w:val="00B22AA8"/>
    <w:rsid w:val="00B3053F"/>
    <w:rsid w:val="00B4082F"/>
    <w:rsid w:val="00B43973"/>
    <w:rsid w:val="00B46F34"/>
    <w:rsid w:val="00B472CC"/>
    <w:rsid w:val="00B50C4B"/>
    <w:rsid w:val="00B53550"/>
    <w:rsid w:val="00B552BE"/>
    <w:rsid w:val="00B63AFB"/>
    <w:rsid w:val="00B65246"/>
    <w:rsid w:val="00B67B83"/>
    <w:rsid w:val="00B87088"/>
    <w:rsid w:val="00B94D34"/>
    <w:rsid w:val="00B97CED"/>
    <w:rsid w:val="00BC57C4"/>
    <w:rsid w:val="00BD0707"/>
    <w:rsid w:val="00BE6CEE"/>
    <w:rsid w:val="00C046B8"/>
    <w:rsid w:val="00C056EC"/>
    <w:rsid w:val="00C23EEF"/>
    <w:rsid w:val="00C32CFD"/>
    <w:rsid w:val="00C37577"/>
    <w:rsid w:val="00C420B5"/>
    <w:rsid w:val="00C45F8F"/>
    <w:rsid w:val="00C56E5B"/>
    <w:rsid w:val="00C7205A"/>
    <w:rsid w:val="00C74147"/>
    <w:rsid w:val="00C82758"/>
    <w:rsid w:val="00C94A7D"/>
    <w:rsid w:val="00C94A8B"/>
    <w:rsid w:val="00CA1F35"/>
    <w:rsid w:val="00CA2280"/>
    <w:rsid w:val="00CB47FC"/>
    <w:rsid w:val="00CC2419"/>
    <w:rsid w:val="00CD20E7"/>
    <w:rsid w:val="00CE5F3E"/>
    <w:rsid w:val="00CF0034"/>
    <w:rsid w:val="00CF1B32"/>
    <w:rsid w:val="00CF74BF"/>
    <w:rsid w:val="00D02E96"/>
    <w:rsid w:val="00D033E0"/>
    <w:rsid w:val="00D07F12"/>
    <w:rsid w:val="00D10F12"/>
    <w:rsid w:val="00D13649"/>
    <w:rsid w:val="00D204AA"/>
    <w:rsid w:val="00D20A1A"/>
    <w:rsid w:val="00D258FB"/>
    <w:rsid w:val="00D51378"/>
    <w:rsid w:val="00D55A92"/>
    <w:rsid w:val="00D57A48"/>
    <w:rsid w:val="00D6578C"/>
    <w:rsid w:val="00D81210"/>
    <w:rsid w:val="00D854BD"/>
    <w:rsid w:val="00D85F2F"/>
    <w:rsid w:val="00D9680B"/>
    <w:rsid w:val="00DA5CE9"/>
    <w:rsid w:val="00DC04C2"/>
    <w:rsid w:val="00DC2D42"/>
    <w:rsid w:val="00DD17BC"/>
    <w:rsid w:val="00DD4CAE"/>
    <w:rsid w:val="00DD563C"/>
    <w:rsid w:val="00DF3FFF"/>
    <w:rsid w:val="00DF4A11"/>
    <w:rsid w:val="00E00B3D"/>
    <w:rsid w:val="00E134D7"/>
    <w:rsid w:val="00E14509"/>
    <w:rsid w:val="00E16242"/>
    <w:rsid w:val="00E17932"/>
    <w:rsid w:val="00E25AA6"/>
    <w:rsid w:val="00E26365"/>
    <w:rsid w:val="00E40798"/>
    <w:rsid w:val="00E4161D"/>
    <w:rsid w:val="00E6177D"/>
    <w:rsid w:val="00E625A1"/>
    <w:rsid w:val="00E76287"/>
    <w:rsid w:val="00E87748"/>
    <w:rsid w:val="00E968B6"/>
    <w:rsid w:val="00EA6DDC"/>
    <w:rsid w:val="00EB3DAC"/>
    <w:rsid w:val="00ED2A55"/>
    <w:rsid w:val="00ED709B"/>
    <w:rsid w:val="00ED70F7"/>
    <w:rsid w:val="00EE6B7C"/>
    <w:rsid w:val="00EF0CF1"/>
    <w:rsid w:val="00EF51DE"/>
    <w:rsid w:val="00EF7CBB"/>
    <w:rsid w:val="00F02547"/>
    <w:rsid w:val="00F116D0"/>
    <w:rsid w:val="00F21C99"/>
    <w:rsid w:val="00F223FE"/>
    <w:rsid w:val="00F22F85"/>
    <w:rsid w:val="00F25ABB"/>
    <w:rsid w:val="00F352D9"/>
    <w:rsid w:val="00F523DF"/>
    <w:rsid w:val="00F80334"/>
    <w:rsid w:val="00F8722B"/>
    <w:rsid w:val="00F90DBF"/>
    <w:rsid w:val="00F94117"/>
    <w:rsid w:val="00F95640"/>
    <w:rsid w:val="00F96B22"/>
    <w:rsid w:val="00FA1C0D"/>
    <w:rsid w:val="00FA319A"/>
    <w:rsid w:val="00FA32BF"/>
    <w:rsid w:val="00FA3968"/>
    <w:rsid w:val="00FA580E"/>
    <w:rsid w:val="00FB6809"/>
    <w:rsid w:val="00FC6F27"/>
    <w:rsid w:val="00FE152A"/>
    <w:rsid w:val="00FE3930"/>
    <w:rsid w:val="00FF4623"/>
    <w:rsid w:val="00FF78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C8674B2-0802-4890-A3FA-9209BD2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1">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customStyle="1" w:styleId="SignatureChar">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F223FE"/>
    <w:rPr>
      <w:rFonts w:asciiTheme="majorHAnsi" w:eastAsiaTheme="majorEastAsia" w:hAnsiTheme="majorHAnsi" w:cstheme="majorBidi"/>
      <w:bCs/>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F223FE"/>
    <w:rPr>
      <w:rFonts w:asciiTheme="majorHAnsi" w:eastAsiaTheme="majorEastAsia" w:hAnsiTheme="majorHAnsi" w:cstheme="majorBidi"/>
      <w:bCs/>
      <w:szCs w:val="28"/>
    </w:rPr>
  </w:style>
  <w:style w:type="character" w:customStyle="1" w:styleId="Heading3Char">
    <w:name w:val="Heading 3 Char"/>
    <w:basedOn w:val="DefaultParagraphFont"/>
    <w:link w:val="Heading3"/>
    <w:uiPriority w:val="19"/>
    <w:rsid w:val="00F223FE"/>
    <w:rPr>
      <w:rFonts w:asciiTheme="majorHAnsi" w:eastAsiaTheme="majorEastAsia" w:hAnsiTheme="majorHAnsi" w:cstheme="majorBidi"/>
      <w:bCs/>
    </w:rPr>
  </w:style>
  <w:style w:type="character" w:customStyle="1" w:styleId="Heading5Char">
    <w:name w:val="Heading 5 Char"/>
    <w:basedOn w:val="DefaultParagraphFont"/>
    <w:link w:val="Heading5"/>
    <w:uiPriority w:val="19"/>
    <w:rsid w:val="00F223FE"/>
  </w:style>
  <w:style w:type="character" w:customStyle="1" w:styleId="Heading4Char">
    <w:name w:val="Heading 4 Char"/>
    <w:basedOn w:val="DefaultParagraphFont"/>
    <w:link w:val="Heading4"/>
    <w:uiPriority w:val="19"/>
    <w:rsid w:val="00F223FE"/>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49"/>
    <w:unhideWhenUsed/>
    <w:rsid w:val="0080695F"/>
    <w:pPr>
      <w:tabs>
        <w:tab w:val="center" w:pos="4680"/>
        <w:tab w:val="right" w:pos="9360"/>
      </w:tabs>
    </w:pPr>
  </w:style>
  <w:style w:type="character" w:customStyle="1" w:styleId="HeaderChar">
    <w:name w:val="Header Char"/>
    <w:basedOn w:val="DefaultParagraphFont"/>
    <w:link w:val="Header"/>
    <w:uiPriority w:val="4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ListParagraph">
    <w:name w:val="List Paragraph"/>
    <w:basedOn w:val="Normal"/>
    <w:uiPriority w:val="39"/>
    <w:qFormat/>
    <w:rsid w:val="00042601"/>
    <w:pPr>
      <w:ind w:left="720"/>
      <w:contextualSpacing/>
    </w:pPr>
  </w:style>
  <w:style w:type="paragraph" w:customStyle="1" w:styleId="DraftLineWC">
    <w:name w:val="DraftLineW&amp;C"/>
    <w:basedOn w:val="Normal"/>
    <w:uiPriority w:val="99"/>
    <w:semiHidden/>
    <w:rsid w:val="007227C8"/>
    <w:pPr>
      <w:framePr w:w="5328" w:hSpace="187" w:vSpace="187" w:wrap="around" w:vAnchor="page" w:hAnchor="page" w:x="5761" w:y="721"/>
      <w:jc w:val="right"/>
    </w:pPr>
    <w:rPr>
      <w:rFonts w:eastAsia="Times New Roman" w:cs="Times New Roman"/>
      <w:color w:val="auto"/>
      <w:sz w:val="20"/>
    </w:rPr>
  </w:style>
  <w:style w:type="paragraph" w:styleId="BalloonText">
    <w:name w:val="Balloon Text"/>
    <w:basedOn w:val="Normal"/>
    <w:link w:val="BalloonTextChar"/>
    <w:uiPriority w:val="99"/>
    <w:semiHidden/>
    <w:unhideWhenUsed/>
    <w:rsid w:val="000D4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06/relationships/keyMapCustomizations" Target="customizations.xml"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1E3F-45E7-4A08-B579-E05F37E4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XDOCID">
    <vt:lpwstr>Block DocID</vt:lpwstr>
  </property>
  <property fmtid="{D5CDD505-2E9C-101B-9397-08002B2CF9AE}" pid="4" name="Language1">
    <vt:lpwstr>English (US)</vt:lpwstr>
  </property>
  <property fmtid="{D5CDD505-2E9C-101B-9397-08002B2CF9AE}" pid="5" name="NRT_Author">
    <vt:lpwstr>SIEBEMA</vt:lpwstr>
  </property>
  <property fmtid="{D5CDD505-2E9C-101B-9397-08002B2CF9AE}" pid="6" name="NRT_AuthorDescription">
    <vt:lpwstr>Sieben, Matthew</vt:lpwstr>
  </property>
  <property fmtid="{D5CDD505-2E9C-101B-9397-08002B2CF9AE}" pid="7" name="NRT_Database">
    <vt:lpwstr>AMERICAS</vt:lpwstr>
  </property>
  <property fmtid="{D5CDD505-2E9C-101B-9397-08002B2CF9AE}" pid="8" name="NRT_DocName">
    <vt:lpwstr>VPCB - Compensation Committee Charter (Final Form)</vt:lpwstr>
  </property>
  <property fmtid="{D5CDD505-2E9C-101B-9397-08002B2CF9AE}" pid="9" name="NRT_DocNumber">
    <vt:lpwstr>106135756</vt:lpwstr>
  </property>
  <property fmtid="{D5CDD505-2E9C-101B-9397-08002B2CF9AE}" pid="10" name="NRT_DocVersion">
    <vt:lpwstr>7</vt:lpwstr>
  </property>
  <property fmtid="{D5CDD505-2E9C-101B-9397-08002B2CF9AE}" pid="11" name="NRT_ELITE_CLIENT">
    <vt:lpwstr>1754053</vt:lpwstr>
  </property>
  <property fmtid="{D5CDD505-2E9C-101B-9397-08002B2CF9AE}" pid="12" name="NRT_ELITE_MATTER">
    <vt:lpwstr>0023</vt:lpwstr>
  </property>
  <property fmtid="{D5CDD505-2E9C-101B-9397-08002B2CF9AE}" pid="13" name="NRT_Operator">
    <vt:lpwstr>tuttlsa</vt:lpwstr>
  </property>
  <property fmtid="{D5CDD505-2E9C-101B-9397-08002B2CF9AE}" pid="14" name="Office">
    <vt:lpwstr>New York</vt:lpwstr>
  </property>
  <property fmtid="{D5CDD505-2E9C-101B-9397-08002B2CF9AE}" pid="15" name="pDocNumber">
    <vt:lpwstr>106135756_7 [AMERICAS]</vt:lpwstr>
  </property>
  <property fmtid="{D5CDD505-2E9C-101B-9397-08002B2CF9AE}" pid="16" name="pDocRef">
    <vt:lpwstr>1754053-0023.SIEBEMA.TUTTLSA</vt:lpwstr>
  </property>
  <property fmtid="{D5CDD505-2E9C-101B-9397-08002B2CF9AE}" pid="17" name="WCOffice">
    <vt:lpwstr>New York</vt:lpwstr>
  </property>
  <property fmtid="{D5CDD505-2E9C-101B-9397-08002B2CF9AE}" pid="18" name="WC_LAST_MODIFIED">
    <vt:lpwstr>3/5/2021 5:09:46 PM</vt:lpwstr>
  </property>
</Properties>
</file>